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88" w:rsidRPr="002F0064" w:rsidRDefault="002F0064" w:rsidP="002F0064">
      <w:pPr>
        <w:autoSpaceDE w:val="0"/>
        <w:spacing w:line="440" w:lineRule="exact"/>
        <w:ind w:firstLineChars="150" w:firstLine="540"/>
        <w:contextualSpacing/>
        <w:rPr>
          <w:rFonts w:ascii="方正小标宋简体" w:eastAsia="方正小标宋简体" w:hAnsi="宋体" w:cs="宋体" w:hint="eastAsia"/>
          <w:color w:val="2A2A2A"/>
          <w:sz w:val="36"/>
          <w:szCs w:val="36"/>
        </w:rPr>
      </w:pPr>
      <w:r w:rsidRPr="002F0064">
        <w:rPr>
          <w:rFonts w:ascii="方正小标宋简体" w:eastAsia="方正小标宋简体" w:hAnsi="宋体" w:cs="宋体" w:hint="eastAsia"/>
          <w:color w:val="2A2A2A"/>
          <w:sz w:val="36"/>
          <w:szCs w:val="36"/>
        </w:rPr>
        <w:t>教师教学发展中心第3</w:t>
      </w:r>
      <w:r w:rsidR="007C3AD1" w:rsidRPr="002F0064">
        <w:rPr>
          <w:rFonts w:ascii="方正小标宋简体" w:eastAsia="方正小标宋简体" w:hAnsi="宋体" w:cs="宋体" w:hint="eastAsia"/>
          <w:color w:val="2A2A2A"/>
          <w:sz w:val="36"/>
          <w:szCs w:val="36"/>
        </w:rPr>
        <w:t>周</w:t>
      </w:r>
      <w:r w:rsidRPr="002F0064">
        <w:rPr>
          <w:rFonts w:ascii="方正小标宋简体" w:eastAsia="方正小标宋简体" w:hAnsi="宋体" w:cs="宋体" w:hint="eastAsia"/>
          <w:color w:val="2A2A2A"/>
          <w:sz w:val="36"/>
          <w:szCs w:val="36"/>
        </w:rPr>
        <w:t>在线教学技能提升培训</w:t>
      </w:r>
    </w:p>
    <w:p w:rsidR="00C16588" w:rsidRDefault="007C3AD1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主题一：《高校防控新型冠状病毒肺炎疫情培训教程》</w:t>
      </w:r>
    </w:p>
    <w:p w:rsidR="00C16588" w:rsidRDefault="007C3AD1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教程以高校新型冠状病毒肺炎疫情防控为主线，将新型冠状病毒肺炎防控知识、法律法规、心理干预等有机结合，并设置小测试检测学习效果，以指导高校开展新型冠状病毒肺炎疫情防控，做好开学前和开学后新型冠状病毒肺炎疫情防控工作，加强疫情防控相关知识和技能培训，积极做到防治结合、科学防护、理性应对。</w:t>
      </w:r>
    </w:p>
    <w:p w:rsidR="00C16588" w:rsidRDefault="007C3AD1">
      <w:pPr>
        <w:autoSpaceDE w:val="0"/>
        <w:spacing w:line="440" w:lineRule="exac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</w:t>
      </w:r>
    </w:p>
    <w:p w:rsidR="00C16588" w:rsidRDefault="007C3AD1">
      <w:pPr>
        <w:autoSpaceDE w:val="0"/>
        <w:spacing w:line="440" w:lineRule="exac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沈洪兵：中国工程院院士，南京医科大学校长，南京医科大学公共卫生学院流行病学教授，博士生导师。</w:t>
      </w:r>
    </w:p>
    <w:p w:rsidR="00C16588" w:rsidRDefault="007C3AD1">
      <w:pPr>
        <w:autoSpaceDE w:val="0"/>
        <w:spacing w:line="440" w:lineRule="exac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徐桂华：教育部高等学校护理学类专业教学指导委员会副主任委员，南京中医药大学副校长，教授，博士生导师。</w:t>
      </w:r>
    </w:p>
    <w:p w:rsidR="00C16588" w:rsidRDefault="007C3AD1">
      <w:pPr>
        <w:autoSpaceDE w:val="0"/>
        <w:spacing w:line="440" w:lineRule="exac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沈孝兵：东南大学卫生研究所所长，公共卫生学院教授，博士生导师。</w:t>
      </w:r>
    </w:p>
    <w:p w:rsidR="00C16588" w:rsidRDefault="007C3AD1">
      <w:pPr>
        <w:autoSpaceDE w:val="0"/>
        <w:spacing w:line="440" w:lineRule="exac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陈昌凯：中国心理学会注册心理师、注册督导师，南京大学社会学院心理学系副教授。</w:t>
      </w:r>
    </w:p>
    <w:p w:rsidR="00C16588" w:rsidRDefault="007C3AD1">
      <w:pPr>
        <w:autoSpaceDE w:val="0"/>
        <w:spacing w:line="440" w:lineRule="exac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高志宏：南京航空航天大学人文与社会科学学院副院长，教授。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    </w:t>
      </w:r>
    </w:p>
    <w:p w:rsidR="00C16588" w:rsidRDefault="007C3AD1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收看方式：扫码加入培训课程学习</w:t>
      </w:r>
    </w:p>
    <w:p w:rsidR="00C16588" w:rsidRDefault="007C3AD1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2476500" cy="2447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8" w:rsidRDefault="00C16588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C16588" w:rsidRDefault="007C3AD1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主题二：五星教学原理：实践应用指南</w:t>
      </w: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本课程将基于五星教学原理，聚焦解决实际问题，突出激活新知、示证新知、应用新知、融会贯通等四个教育环节，实现“知识自然延伸、问题合理解决”的高校教学目标。</w:t>
      </w: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主讲人：周付安（教育部网培中心特聘专家，知名教学专家，北京工商大学）</w:t>
      </w:r>
    </w:p>
    <w:p w:rsidR="00C16588" w:rsidRDefault="007C3AD1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114300" distR="114300">
            <wp:extent cx="3776345" cy="2363470"/>
            <wp:effectExtent l="0" t="0" r="8255" b="11430"/>
            <wp:docPr id="8" name="图片 8" descr="QQ截图2020031508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03150849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8" w:rsidRDefault="00C1658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收看方式：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扫码参加培训课程学习</w:t>
      </w:r>
    </w:p>
    <w:p w:rsidR="00C16588" w:rsidRDefault="00C1658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C16588" w:rsidRDefault="007C3AD1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819275" cy="1752600"/>
            <wp:effectExtent l="0" t="0" r="9525" b="0"/>
            <wp:docPr id="7" name="图片 7" descr="QQ截图2020031508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3150818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8" w:rsidRDefault="00C16588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DB0160" w:rsidRDefault="00DB0160">
      <w:pPr>
        <w:autoSpaceDE w:val="0"/>
        <w:spacing w:line="360" w:lineRule="auto"/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</w:pPr>
    </w:p>
    <w:p w:rsidR="00DB0160" w:rsidRDefault="00DB0160">
      <w:pPr>
        <w:autoSpaceDE w:val="0"/>
        <w:spacing w:line="360" w:lineRule="auto"/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</w:pPr>
    </w:p>
    <w:p w:rsidR="00C16588" w:rsidRDefault="007C3AD1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lastRenderedPageBreak/>
        <w:t>主题三：</w:t>
      </w:r>
      <w:proofErr w:type="spellStart"/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Powerpoint</w:t>
      </w:r>
      <w:proofErr w:type="spellEnd"/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神操作——在线课件的字体使用奥义</w:t>
      </w:r>
    </w:p>
    <w:p w:rsidR="00C16588" w:rsidRDefault="007C3AD1">
      <w:pPr>
        <w:autoSpaceDE w:val="0"/>
        <w:spacing w:line="360" w:lineRule="auto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主讲人：</w:t>
      </w:r>
      <w:r>
        <w:rPr>
          <w:rFonts w:ascii="仿宋_GB2312" w:eastAsia="仿宋_GB2312" w:hAnsi="宋体" w:cs="宋体"/>
          <w:color w:val="2A2A2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赖国雄（华南师范大学网络教育学院总监，教育部国培计划著名讲师）</w:t>
      </w: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kern w:val="0"/>
          <w:sz w:val="32"/>
          <w:szCs w:val="32"/>
        </w:rPr>
        <w:drawing>
          <wp:inline distT="0" distB="0" distL="114300" distR="114300">
            <wp:extent cx="4048125" cy="3019425"/>
            <wp:effectExtent l="0" t="0" r="3175" b="3175"/>
            <wp:docPr id="2" name="图片 2" descr="QQ截图2020031412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31412114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收看方式：扫码进入课程学习</w:t>
      </w:r>
    </w:p>
    <w:p w:rsidR="00C16588" w:rsidRDefault="007C3AD1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828800" cy="1800225"/>
            <wp:effectExtent l="0" t="0" r="0" b="3175"/>
            <wp:docPr id="3" name="图片 3" descr="QQ截图2020031412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31412112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60" w:rsidRDefault="00DB0160">
      <w:pPr>
        <w:autoSpaceDE w:val="0"/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DB0160" w:rsidRDefault="00DB0160">
      <w:pPr>
        <w:autoSpaceDE w:val="0"/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DB0160" w:rsidRDefault="00DB0160">
      <w:pPr>
        <w:autoSpaceDE w:val="0"/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DB0160" w:rsidRDefault="00DB0160">
      <w:pPr>
        <w:autoSpaceDE w:val="0"/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DB0160" w:rsidRDefault="00DB0160">
      <w:pPr>
        <w:autoSpaceDE w:val="0"/>
        <w:spacing w:line="36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C16588" w:rsidRDefault="007C3AD1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主题四：教会你怎么做微课</w:t>
      </w: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主讲人：汪晓东（</w:t>
      </w: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教育部教育管理信息中心特聘专家，华南师范大学教育信息技术学院副教授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）</w:t>
      </w:r>
      <w:r>
        <w:rPr>
          <w:rFonts w:ascii="仿宋_GB2312" w:eastAsia="仿宋_GB2312" w:hAnsi="宋体" w:cs="宋体"/>
          <w:color w:val="2A2A2A"/>
          <w:sz w:val="32"/>
          <w:szCs w:val="32"/>
        </w:rPr>
        <w:t xml:space="preserve"> </w:t>
      </w: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4067175" cy="3019425"/>
            <wp:effectExtent l="0" t="0" r="9525" b="3175"/>
            <wp:docPr id="4" name="图片 4" descr="QQ截图2020031412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31412190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8" w:rsidRDefault="00C1658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C16588" w:rsidRDefault="007C3AD1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收看方式：扫码进入课程学习</w:t>
      </w:r>
    </w:p>
    <w:p w:rsidR="00C16588" w:rsidRDefault="00C1658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C16588" w:rsidRDefault="007C3AD1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905000" cy="1781175"/>
            <wp:effectExtent l="0" t="0" r="0" b="9525"/>
            <wp:docPr id="5" name="图片 5" descr="QQ截图2020031412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03141218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8" w:rsidRDefault="00C16588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6588" w:rsidRDefault="00C16588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6588" w:rsidRDefault="00C16588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6588" w:rsidRDefault="007C3AD1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主题五：从十个视角理解并践行课程思政</w:t>
      </w:r>
    </w:p>
    <w:p w:rsidR="00C16588" w:rsidRDefault="007C3AD1">
      <w:pPr>
        <w:autoSpaceDE w:val="0"/>
        <w:spacing w:line="700" w:lineRule="exact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细致分享课程思政元素如何挖掘，课程思政中的“思政”与“思想政治理论课”之间的关系，课程思政的教育教学理念和思维方式，如何结合信息技术做课程思政，优秀专业“课程思政”设计的思路</w:t>
      </w:r>
    </w:p>
    <w:p w:rsidR="00C16588" w:rsidRDefault="007C3AD1">
      <w:pPr>
        <w:autoSpaceDE w:val="0"/>
        <w:spacing w:line="70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主讲人：郭建校（天津外国语大学国际教育学院院长）</w:t>
      </w:r>
    </w:p>
    <w:p w:rsidR="00C16588" w:rsidRDefault="007C3AD1">
      <w:pPr>
        <w:autoSpaceDE w:val="0"/>
        <w:spacing w:line="70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收看方式：扫码进入课程学习</w:t>
      </w:r>
    </w:p>
    <w:p w:rsidR="00C16588" w:rsidRDefault="00C16588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C16588" w:rsidRDefault="007C3AD1">
      <w:pPr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3619500" cy="3956050"/>
            <wp:effectExtent l="0" t="0" r="0" b="6350"/>
            <wp:docPr id="1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副本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588" w:rsidRDefault="00C16588">
      <w:pPr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C16588" w:rsidRDefault="00C16588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sectPr w:rsidR="00C16588" w:rsidSect="00C1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16025E"/>
    <w:rsid w:val="002F0064"/>
    <w:rsid w:val="00321D63"/>
    <w:rsid w:val="003D14B2"/>
    <w:rsid w:val="00434417"/>
    <w:rsid w:val="006031A9"/>
    <w:rsid w:val="006057EC"/>
    <w:rsid w:val="007A2898"/>
    <w:rsid w:val="007A6675"/>
    <w:rsid w:val="007C3AD1"/>
    <w:rsid w:val="008B13A4"/>
    <w:rsid w:val="0094628F"/>
    <w:rsid w:val="00C16588"/>
    <w:rsid w:val="00C32819"/>
    <w:rsid w:val="00CB28DD"/>
    <w:rsid w:val="00CE22CD"/>
    <w:rsid w:val="00D237A6"/>
    <w:rsid w:val="00D62207"/>
    <w:rsid w:val="00DB0160"/>
    <w:rsid w:val="00E32C63"/>
    <w:rsid w:val="00E3394A"/>
    <w:rsid w:val="00EE45FE"/>
    <w:rsid w:val="00F01624"/>
    <w:rsid w:val="00FA5539"/>
    <w:rsid w:val="0E2C15A1"/>
    <w:rsid w:val="1C8F2932"/>
    <w:rsid w:val="1EC107CE"/>
    <w:rsid w:val="230F1C08"/>
    <w:rsid w:val="3257165B"/>
    <w:rsid w:val="36C3393A"/>
    <w:rsid w:val="490A5A1F"/>
    <w:rsid w:val="509468A8"/>
    <w:rsid w:val="53C04DF2"/>
    <w:rsid w:val="5F934D99"/>
    <w:rsid w:val="65CF4DEE"/>
    <w:rsid w:val="676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58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C16588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16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2020-03-09T07:40:00Z</dcterms:created>
  <dcterms:modified xsi:type="dcterms:W3CDTF">2020-03-16T01:11:00Z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